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724B" w:rsidRDefault="000D4986">
      <w:pPr>
        <w:pStyle w:val="a5"/>
        <w:framePr w:w="9590" w:h="576" w:hRule="exact" w:wrap="none" w:vAnchor="page" w:hAnchor="page" w:x="1153" w:y="712"/>
        <w:shd w:val="clear" w:color="auto" w:fill="auto"/>
        <w:spacing w:after="3" w:line="220" w:lineRule="exact"/>
      </w:pPr>
      <w:r>
        <w:t>АО «Энерго-сбытовая компания» с 01.06.201</w:t>
      </w:r>
      <w:r w:rsidR="00D85E0C">
        <w:t>9 по 01.06.2020</w:t>
      </w:r>
      <w:r>
        <w:t xml:space="preserve"> г.</w:t>
      </w:r>
    </w:p>
    <w:p w:rsidR="00EE724B" w:rsidRDefault="000D4986">
      <w:pPr>
        <w:pStyle w:val="a5"/>
        <w:framePr w:w="9590" w:h="576" w:hRule="exact" w:wrap="none" w:vAnchor="page" w:hAnchor="page" w:x="1153" w:y="712"/>
        <w:shd w:val="clear" w:color="auto" w:fill="auto"/>
        <w:spacing w:after="0" w:line="220" w:lineRule="exact"/>
        <w:jc w:val="left"/>
      </w:pPr>
      <w:r>
        <w:t>Основные условия договора энергоснабжения (купли-продажи) электрической энергии</w:t>
      </w:r>
    </w:p>
    <w:tbl>
      <w:tblPr>
        <w:tblOverlap w:val="never"/>
        <w:tblW w:w="0" w:type="auto"/>
        <w:tblLayout w:type="fixed"/>
        <w:tblCellMar>
          <w:left w:w="10" w:type="dxa"/>
          <w:right w:w="10" w:type="dxa"/>
        </w:tblCellMar>
        <w:tblLook w:val="04A0"/>
      </w:tblPr>
      <w:tblGrid>
        <w:gridCol w:w="2947"/>
        <w:gridCol w:w="7666"/>
      </w:tblGrid>
      <w:tr w:rsidR="00EE724B">
        <w:trPr>
          <w:trHeight w:hRule="exact" w:val="6917"/>
        </w:trPr>
        <w:tc>
          <w:tcPr>
            <w:tcW w:w="2947" w:type="dxa"/>
            <w:tcBorders>
              <w:top w:val="single" w:sz="4" w:space="0" w:color="auto"/>
              <w:left w:val="single" w:sz="4" w:space="0" w:color="auto"/>
            </w:tcBorders>
            <w:shd w:val="clear" w:color="auto" w:fill="FFFFFF"/>
            <w:vAlign w:val="center"/>
          </w:tcPr>
          <w:p w:rsidR="00EE724B" w:rsidRDefault="000D4986">
            <w:pPr>
              <w:pStyle w:val="20"/>
              <w:framePr w:w="10613" w:h="14707" w:wrap="none" w:vAnchor="page" w:hAnchor="page" w:x="601" w:y="1244"/>
              <w:shd w:val="clear" w:color="auto" w:fill="auto"/>
              <w:spacing w:line="220" w:lineRule="exact"/>
              <w:ind w:left="220"/>
              <w:jc w:val="left"/>
            </w:pPr>
            <w:r>
              <w:rPr>
                <w:rStyle w:val="21"/>
              </w:rPr>
              <w:t>Срок действия договора</w:t>
            </w:r>
          </w:p>
        </w:tc>
        <w:tc>
          <w:tcPr>
            <w:tcW w:w="7666" w:type="dxa"/>
            <w:tcBorders>
              <w:top w:val="single" w:sz="4" w:space="0" w:color="auto"/>
              <w:left w:val="single" w:sz="4" w:space="0" w:color="auto"/>
              <w:right w:val="single" w:sz="4" w:space="0" w:color="auto"/>
            </w:tcBorders>
            <w:shd w:val="clear" w:color="auto" w:fill="FFFFFF"/>
            <w:vAlign w:val="bottom"/>
          </w:tcPr>
          <w:p w:rsidR="00EE724B" w:rsidRDefault="000D4986">
            <w:pPr>
              <w:pStyle w:val="20"/>
              <w:framePr w:w="10613" w:h="14707" w:wrap="none" w:vAnchor="page" w:hAnchor="page" w:x="601" w:y="1244"/>
              <w:shd w:val="clear" w:color="auto" w:fill="auto"/>
            </w:pPr>
            <w:r>
              <w:rPr>
                <w:rStyle w:val="21"/>
              </w:rPr>
              <w:t xml:space="preserve">Дата и время начала исполнения обязательств по настоящему </w:t>
            </w:r>
            <w:r w:rsidR="00D85E0C">
              <w:rPr>
                <w:rStyle w:val="21"/>
              </w:rPr>
              <w:t>Договору с 00 ч. 00 мин. « » 20</w:t>
            </w:r>
            <w:r>
              <w:rPr>
                <w:rStyle w:val="21"/>
              </w:rPr>
              <w:t xml:space="preserve"> г., но не ранее даты и времени с которых энергосбытовая (энергоснабжающая) организация начинает приобретать электрическую энергию (мощность):</w:t>
            </w:r>
          </w:p>
          <w:p w:rsidR="00EE724B" w:rsidRDefault="000D4986">
            <w:pPr>
              <w:pStyle w:val="20"/>
              <w:framePr w:w="10613" w:h="14707" w:wrap="none" w:vAnchor="page" w:hAnchor="page" w:x="601" w:y="1244"/>
              <w:numPr>
                <w:ilvl w:val="0"/>
                <w:numId w:val="1"/>
              </w:numPr>
              <w:shd w:val="clear" w:color="auto" w:fill="auto"/>
              <w:tabs>
                <w:tab w:val="left" w:pos="154"/>
              </w:tabs>
            </w:pPr>
            <w:r>
              <w:rPr>
                <w:rStyle w:val="21"/>
              </w:rPr>
              <w:t>на оптовом рынке в группах точек поставки, соответствующих точкам поставки по заключенному с Потребителем договору, обеспечивающему продажу ему электрической энергии (мощности) на розничном рынке, и это подтверждено заключенными на оптовом рынке договорами, предусмотренными договором о присоединении к торговой системе оптового рынка;</w:t>
            </w:r>
          </w:p>
          <w:p w:rsidR="00EE724B" w:rsidRDefault="000D4986">
            <w:pPr>
              <w:pStyle w:val="20"/>
              <w:framePr w:w="10613" w:h="14707" w:wrap="none" w:vAnchor="page" w:hAnchor="page" w:x="601" w:y="1244"/>
              <w:numPr>
                <w:ilvl w:val="0"/>
                <w:numId w:val="1"/>
              </w:numPr>
              <w:shd w:val="clear" w:color="auto" w:fill="auto"/>
              <w:tabs>
                <w:tab w:val="left" w:pos="173"/>
              </w:tabs>
            </w:pPr>
            <w:r>
              <w:rPr>
                <w:rStyle w:val="21"/>
              </w:rPr>
              <w:t xml:space="preserve">по договору с производителем электрической энергии (мощности) на розничном рынке, заключенному в соответствии с требованиями пункта 64 основных положений, с гарантирующим поставщиком или с энергосбытовой (энергоснабжающей) организацией, в отношении точек поставки по заключенному с Потребителем договору, обеспечивающему продажу ему электрической энергии (мощности). Настоящий Договор заключен до конца текущего календарного года, в котором он подписан, и считается ежегодно продленным на один календарный год на тех же условиях, если </w:t>
            </w:r>
            <w:r>
              <w:rPr>
                <w:rStyle w:val="22"/>
              </w:rPr>
              <w:t xml:space="preserve">не менее чем за один месяц </w:t>
            </w:r>
            <w:r>
              <w:rPr>
                <w:rStyle w:val="21"/>
              </w:rPr>
              <w:t>до окончания срока его действия ни одна из сторон не заявит о его прекращении или изменении, либо о заключении нового договора. Если одной из сторон заявлено об изменении или заключении нового договора, то отношения сторон до заключения нового договора регулируются в соответствии с условиями ранее заключенного договора.</w:t>
            </w:r>
          </w:p>
        </w:tc>
      </w:tr>
      <w:tr w:rsidR="00EE724B">
        <w:trPr>
          <w:trHeight w:hRule="exact" w:val="562"/>
        </w:trPr>
        <w:tc>
          <w:tcPr>
            <w:tcW w:w="2947" w:type="dxa"/>
            <w:tcBorders>
              <w:top w:val="single" w:sz="4" w:space="0" w:color="auto"/>
              <w:left w:val="single" w:sz="4" w:space="0" w:color="auto"/>
            </w:tcBorders>
            <w:shd w:val="clear" w:color="auto" w:fill="FFFFFF"/>
            <w:vAlign w:val="bottom"/>
          </w:tcPr>
          <w:p w:rsidR="00EE724B" w:rsidRDefault="000D4986">
            <w:pPr>
              <w:pStyle w:val="20"/>
              <w:framePr w:w="10613" w:h="14707" w:wrap="none" w:vAnchor="page" w:hAnchor="page" w:x="601" w:y="1244"/>
              <w:shd w:val="clear" w:color="auto" w:fill="auto"/>
              <w:spacing w:line="278" w:lineRule="exact"/>
              <w:jc w:val="center"/>
            </w:pPr>
            <w:r>
              <w:rPr>
                <w:rStyle w:val="21"/>
              </w:rPr>
              <w:t>Вид цены на электрическую энергию</w:t>
            </w:r>
          </w:p>
        </w:tc>
        <w:tc>
          <w:tcPr>
            <w:tcW w:w="7666" w:type="dxa"/>
            <w:tcBorders>
              <w:top w:val="single" w:sz="4" w:space="0" w:color="auto"/>
              <w:left w:val="single" w:sz="4" w:space="0" w:color="auto"/>
              <w:right w:val="single" w:sz="4" w:space="0" w:color="auto"/>
            </w:tcBorders>
            <w:shd w:val="clear" w:color="auto" w:fill="FFFFFF"/>
            <w:vAlign w:val="bottom"/>
          </w:tcPr>
          <w:p w:rsidR="00EE724B" w:rsidRDefault="000D4986">
            <w:pPr>
              <w:pStyle w:val="20"/>
              <w:framePr w:w="10613" w:h="14707" w:wrap="none" w:vAnchor="page" w:hAnchor="page" w:x="601" w:y="1244"/>
              <w:shd w:val="clear" w:color="auto" w:fill="auto"/>
              <w:spacing w:line="269" w:lineRule="exact"/>
              <w:jc w:val="left"/>
            </w:pPr>
            <w:r>
              <w:rPr>
                <w:rStyle w:val="21"/>
              </w:rPr>
              <w:t>Согласно выбранной потребителем ценовой категории. Переменная и рассчитывается ежемесячно</w:t>
            </w:r>
          </w:p>
        </w:tc>
      </w:tr>
      <w:tr w:rsidR="00EE724B">
        <w:trPr>
          <w:trHeight w:hRule="exact" w:val="288"/>
        </w:trPr>
        <w:tc>
          <w:tcPr>
            <w:tcW w:w="2947" w:type="dxa"/>
            <w:tcBorders>
              <w:top w:val="single" w:sz="4" w:space="0" w:color="auto"/>
              <w:left w:val="single" w:sz="4" w:space="0" w:color="auto"/>
            </w:tcBorders>
            <w:shd w:val="clear" w:color="auto" w:fill="FFFFFF"/>
            <w:vAlign w:val="bottom"/>
          </w:tcPr>
          <w:p w:rsidR="00EE724B" w:rsidRDefault="000D4986">
            <w:pPr>
              <w:pStyle w:val="20"/>
              <w:framePr w:w="10613" w:h="14707" w:wrap="none" w:vAnchor="page" w:hAnchor="page" w:x="601" w:y="1244"/>
              <w:shd w:val="clear" w:color="auto" w:fill="auto"/>
              <w:spacing w:line="220" w:lineRule="exact"/>
              <w:jc w:val="center"/>
            </w:pPr>
            <w:r>
              <w:rPr>
                <w:rStyle w:val="21"/>
              </w:rPr>
              <w:t>Форма оплаты</w:t>
            </w:r>
          </w:p>
        </w:tc>
        <w:tc>
          <w:tcPr>
            <w:tcW w:w="7666" w:type="dxa"/>
            <w:tcBorders>
              <w:top w:val="single" w:sz="4" w:space="0" w:color="auto"/>
              <w:left w:val="single" w:sz="4" w:space="0" w:color="auto"/>
              <w:right w:val="single" w:sz="4" w:space="0" w:color="auto"/>
            </w:tcBorders>
            <w:shd w:val="clear" w:color="auto" w:fill="FFFFFF"/>
            <w:vAlign w:val="bottom"/>
          </w:tcPr>
          <w:p w:rsidR="00EE724B" w:rsidRDefault="000D4986">
            <w:pPr>
              <w:pStyle w:val="20"/>
              <w:framePr w:w="10613" w:h="14707" w:wrap="none" w:vAnchor="page" w:hAnchor="page" w:x="601" w:y="1244"/>
              <w:shd w:val="clear" w:color="auto" w:fill="auto"/>
              <w:spacing w:line="220" w:lineRule="exact"/>
            </w:pPr>
            <w:r>
              <w:rPr>
                <w:rStyle w:val="21"/>
              </w:rPr>
              <w:t>Наличный/безналичный расчет</w:t>
            </w:r>
          </w:p>
        </w:tc>
      </w:tr>
      <w:tr w:rsidR="00EE724B">
        <w:trPr>
          <w:trHeight w:hRule="exact" w:val="2770"/>
        </w:trPr>
        <w:tc>
          <w:tcPr>
            <w:tcW w:w="2947" w:type="dxa"/>
            <w:tcBorders>
              <w:top w:val="single" w:sz="4" w:space="0" w:color="auto"/>
              <w:left w:val="single" w:sz="4" w:space="0" w:color="auto"/>
            </w:tcBorders>
            <w:shd w:val="clear" w:color="auto" w:fill="FFFFFF"/>
            <w:vAlign w:val="center"/>
          </w:tcPr>
          <w:p w:rsidR="00EE724B" w:rsidRDefault="000D4986">
            <w:pPr>
              <w:pStyle w:val="20"/>
              <w:framePr w:w="10613" w:h="14707" w:wrap="none" w:vAnchor="page" w:hAnchor="page" w:x="601" w:y="1244"/>
              <w:shd w:val="clear" w:color="auto" w:fill="auto"/>
              <w:jc w:val="center"/>
            </w:pPr>
            <w:r>
              <w:rPr>
                <w:rStyle w:val="21"/>
              </w:rPr>
              <w:t>Форма обеспечения исполнения обязательств сторон по договору</w:t>
            </w:r>
          </w:p>
        </w:tc>
        <w:tc>
          <w:tcPr>
            <w:tcW w:w="7666" w:type="dxa"/>
            <w:tcBorders>
              <w:top w:val="single" w:sz="4" w:space="0" w:color="auto"/>
              <w:left w:val="single" w:sz="4" w:space="0" w:color="auto"/>
              <w:right w:val="single" w:sz="4" w:space="0" w:color="auto"/>
            </w:tcBorders>
            <w:shd w:val="clear" w:color="auto" w:fill="FFFFFF"/>
            <w:vAlign w:val="bottom"/>
          </w:tcPr>
          <w:p w:rsidR="00EE724B" w:rsidRDefault="000D4986">
            <w:pPr>
              <w:pStyle w:val="20"/>
              <w:framePr w:w="10613" w:h="14707" w:wrap="none" w:vAnchor="page" w:hAnchor="page" w:x="601" w:y="1244"/>
              <w:shd w:val="clear" w:color="auto" w:fill="auto"/>
            </w:pPr>
            <w:r>
              <w:rPr>
                <w:rStyle w:val="21"/>
              </w:rPr>
              <w:t>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w:t>
            </w:r>
          </w:p>
          <w:p w:rsidR="00EE724B" w:rsidRDefault="000D4986">
            <w:pPr>
              <w:pStyle w:val="20"/>
              <w:framePr w:w="10613" w:h="14707" w:wrap="none" w:vAnchor="page" w:hAnchor="page" w:x="601" w:y="1244"/>
              <w:shd w:val="clear" w:color="auto" w:fill="auto"/>
            </w:pPr>
            <w:r>
              <w:rPr>
                <w:rStyle w:val="21"/>
              </w:rPr>
              <w:t xml:space="preserve">В случае неисполнения либо ненадлежащего исполнения Потребителем обязательств по оплате приобретенной электрической энергии и мощности (пункт 7.1. Договора), Потребитель уплачивает Энергосбытовой компании проценты в размере 2-х кратной действующей ставки рефинансирования Центрального банка России от суммы задолженности за каждый день просрочки платежа </w:t>
            </w:r>
            <w:r>
              <w:rPr>
                <w:rStyle w:val="23"/>
              </w:rPr>
              <w:t>(абз.10 п.40 Основных положений - существенное условие).</w:t>
            </w:r>
          </w:p>
        </w:tc>
      </w:tr>
      <w:tr w:rsidR="00EE724B">
        <w:trPr>
          <w:trHeight w:hRule="exact" w:val="835"/>
        </w:trPr>
        <w:tc>
          <w:tcPr>
            <w:tcW w:w="2947" w:type="dxa"/>
            <w:tcBorders>
              <w:top w:val="single" w:sz="4" w:space="0" w:color="auto"/>
              <w:left w:val="single" w:sz="4" w:space="0" w:color="auto"/>
            </w:tcBorders>
            <w:shd w:val="clear" w:color="auto" w:fill="FFFFFF"/>
          </w:tcPr>
          <w:p w:rsidR="00EE724B" w:rsidRDefault="000D4986">
            <w:pPr>
              <w:pStyle w:val="20"/>
              <w:framePr w:w="10613" w:h="14707" w:wrap="none" w:vAnchor="page" w:hAnchor="page" w:x="601" w:y="1244"/>
              <w:shd w:val="clear" w:color="auto" w:fill="auto"/>
              <w:spacing w:line="220" w:lineRule="exact"/>
              <w:jc w:val="center"/>
            </w:pPr>
            <w:r>
              <w:rPr>
                <w:rStyle w:val="21"/>
              </w:rPr>
              <w:t>Зона обслуживания</w:t>
            </w:r>
          </w:p>
        </w:tc>
        <w:tc>
          <w:tcPr>
            <w:tcW w:w="7666" w:type="dxa"/>
            <w:tcBorders>
              <w:top w:val="single" w:sz="4" w:space="0" w:color="auto"/>
              <w:left w:val="single" w:sz="4" w:space="0" w:color="auto"/>
              <w:right w:val="single" w:sz="4" w:space="0" w:color="auto"/>
            </w:tcBorders>
            <w:shd w:val="clear" w:color="auto" w:fill="FFFFFF"/>
            <w:vAlign w:val="bottom"/>
          </w:tcPr>
          <w:p w:rsidR="00EE724B" w:rsidRDefault="000D4986">
            <w:pPr>
              <w:pStyle w:val="20"/>
              <w:framePr w:w="10613" w:h="14707" w:wrap="none" w:vAnchor="page" w:hAnchor="page" w:x="601" w:y="1244"/>
              <w:shd w:val="clear" w:color="auto" w:fill="auto"/>
            </w:pPr>
            <w:r>
              <w:rPr>
                <w:rStyle w:val="21"/>
              </w:rPr>
              <w:t>Зоной обслуживания является городской округ Прохладный и Прохладненский муниципальный район Кабардино-Балкарской Республики</w:t>
            </w:r>
          </w:p>
        </w:tc>
      </w:tr>
      <w:tr w:rsidR="00EE724B">
        <w:trPr>
          <w:trHeight w:hRule="exact" w:val="3336"/>
        </w:trPr>
        <w:tc>
          <w:tcPr>
            <w:tcW w:w="2947" w:type="dxa"/>
            <w:tcBorders>
              <w:top w:val="single" w:sz="4" w:space="0" w:color="auto"/>
              <w:left w:val="single" w:sz="4" w:space="0" w:color="auto"/>
              <w:bottom w:val="single" w:sz="4" w:space="0" w:color="auto"/>
            </w:tcBorders>
            <w:shd w:val="clear" w:color="auto" w:fill="FFFFFF"/>
            <w:vAlign w:val="center"/>
          </w:tcPr>
          <w:p w:rsidR="00EE724B" w:rsidRDefault="000D4986">
            <w:pPr>
              <w:pStyle w:val="20"/>
              <w:framePr w:w="10613" w:h="14707" w:wrap="none" w:vAnchor="page" w:hAnchor="page" w:x="601" w:y="1244"/>
              <w:shd w:val="clear" w:color="auto" w:fill="auto"/>
              <w:spacing w:line="278" w:lineRule="exact"/>
              <w:jc w:val="center"/>
            </w:pPr>
            <w:r>
              <w:rPr>
                <w:rStyle w:val="21"/>
              </w:rPr>
              <w:t>Условия расторжения договора</w:t>
            </w:r>
          </w:p>
        </w:tc>
        <w:tc>
          <w:tcPr>
            <w:tcW w:w="7666" w:type="dxa"/>
            <w:tcBorders>
              <w:top w:val="single" w:sz="4" w:space="0" w:color="auto"/>
              <w:left w:val="single" w:sz="4" w:space="0" w:color="auto"/>
              <w:bottom w:val="single" w:sz="4" w:space="0" w:color="auto"/>
              <w:right w:val="single" w:sz="4" w:space="0" w:color="auto"/>
            </w:tcBorders>
            <w:shd w:val="clear" w:color="auto" w:fill="FFFFFF"/>
            <w:vAlign w:val="bottom"/>
          </w:tcPr>
          <w:p w:rsidR="00EE724B" w:rsidRDefault="000D4986">
            <w:pPr>
              <w:pStyle w:val="20"/>
              <w:framePr w:w="10613" w:h="14707" w:wrap="none" w:vAnchor="page" w:hAnchor="page" w:x="601" w:y="1244"/>
              <w:shd w:val="clear" w:color="auto" w:fill="auto"/>
              <w:ind w:firstLine="540"/>
            </w:pPr>
            <w:r>
              <w:rPr>
                <w:rStyle w:val="21"/>
              </w:rPr>
              <w:t xml:space="preserve">Потребитель имеет право в случае отсутствия перед Энергосбытовой компанией задолженности по оплате электрической энергии (мощности), что подтверждено актом сверки расчетов, вступившим в силу решением суда, оплатой счета, выставляемого Энергосбытовой компанией в соответствии с пунктом 85 Основных положений, или иным установленным в договоре способом, в одностороннем порядке отказаться от исполнения настоящего Договора полностью, что влечет его расторжение. </w:t>
            </w:r>
            <w:r>
              <w:rPr>
                <w:rStyle w:val="23"/>
              </w:rPr>
              <w:t>(абз.9 п.55 Основных положений - обязательное условие)</w:t>
            </w:r>
          </w:p>
          <w:p w:rsidR="00EE724B" w:rsidRDefault="000D4986">
            <w:pPr>
              <w:pStyle w:val="20"/>
              <w:framePr w:w="10613" w:h="14707" w:wrap="none" w:vAnchor="page" w:hAnchor="page" w:x="601" w:y="1244"/>
              <w:shd w:val="clear" w:color="auto" w:fill="auto"/>
              <w:ind w:firstLine="540"/>
            </w:pPr>
            <w:r>
              <w:rPr>
                <w:rStyle w:val="21"/>
              </w:rPr>
              <w:t>Энергосбытовая компания имеет право в одностороннем порядке отказаться от исполнения настоящего Договора полностью в случае, если Потребителем не исполняются или исполняются ненадлежащим</w:t>
            </w:r>
          </w:p>
        </w:tc>
      </w:tr>
    </w:tbl>
    <w:p w:rsidR="00EE724B" w:rsidRDefault="00EE724B">
      <w:pPr>
        <w:rPr>
          <w:sz w:val="2"/>
          <w:szCs w:val="2"/>
        </w:rPr>
        <w:sectPr w:rsidR="00EE724B">
          <w:pgSz w:w="11900" w:h="16840"/>
          <w:pgMar w:top="360" w:right="360" w:bottom="360" w:left="360" w:header="0" w:footer="3" w:gutter="0"/>
          <w:cols w:space="720"/>
          <w:noEndnote/>
          <w:docGrid w:linePitch="360"/>
        </w:sectPr>
      </w:pPr>
    </w:p>
    <w:tbl>
      <w:tblPr>
        <w:tblOverlap w:val="never"/>
        <w:tblW w:w="0" w:type="auto"/>
        <w:tblLayout w:type="fixed"/>
        <w:tblCellMar>
          <w:left w:w="10" w:type="dxa"/>
          <w:right w:w="10" w:type="dxa"/>
        </w:tblCellMar>
        <w:tblLook w:val="04A0"/>
      </w:tblPr>
      <w:tblGrid>
        <w:gridCol w:w="2947"/>
        <w:gridCol w:w="7666"/>
      </w:tblGrid>
      <w:tr w:rsidR="00EE724B">
        <w:trPr>
          <w:trHeight w:hRule="exact" w:val="1118"/>
        </w:trPr>
        <w:tc>
          <w:tcPr>
            <w:tcW w:w="2947" w:type="dxa"/>
            <w:tcBorders>
              <w:top w:val="single" w:sz="4" w:space="0" w:color="auto"/>
              <w:left w:val="single" w:sz="4" w:space="0" w:color="auto"/>
            </w:tcBorders>
            <w:shd w:val="clear" w:color="auto" w:fill="FFFFFF"/>
          </w:tcPr>
          <w:p w:rsidR="00EE724B" w:rsidRDefault="00EE724B">
            <w:pPr>
              <w:framePr w:w="10613" w:h="15211" w:wrap="none" w:vAnchor="page" w:hAnchor="page" w:x="601" w:y="740"/>
              <w:rPr>
                <w:sz w:val="10"/>
                <w:szCs w:val="10"/>
              </w:rPr>
            </w:pPr>
          </w:p>
        </w:tc>
        <w:tc>
          <w:tcPr>
            <w:tcW w:w="7666" w:type="dxa"/>
            <w:tcBorders>
              <w:top w:val="single" w:sz="4" w:space="0" w:color="auto"/>
              <w:left w:val="single" w:sz="4" w:space="0" w:color="auto"/>
              <w:right w:val="single" w:sz="4" w:space="0" w:color="auto"/>
            </w:tcBorders>
            <w:shd w:val="clear" w:color="auto" w:fill="FFFFFF"/>
            <w:vAlign w:val="bottom"/>
          </w:tcPr>
          <w:p w:rsidR="00EE724B" w:rsidRDefault="000D4986">
            <w:pPr>
              <w:pStyle w:val="20"/>
              <w:framePr w:w="10613" w:h="15211" w:wrap="none" w:vAnchor="page" w:hAnchor="page" w:x="601" w:y="740"/>
              <w:shd w:val="clear" w:color="auto" w:fill="auto"/>
            </w:pPr>
            <w:r>
              <w:rPr>
                <w:rStyle w:val="21"/>
              </w:rPr>
              <w:t xml:space="preserve">образом обязательства по оплате приобретаемой электроэнергии, уведомив об этом Потребителя за 10 рабочих дней до предполагаемой даты отказа от настоящего Договора. </w:t>
            </w:r>
            <w:r>
              <w:rPr>
                <w:rStyle w:val="23"/>
              </w:rPr>
              <w:t>(п.53 Основных положений)</w:t>
            </w:r>
          </w:p>
          <w:p w:rsidR="00EE724B" w:rsidRDefault="000D4986">
            <w:pPr>
              <w:pStyle w:val="20"/>
              <w:framePr w:w="10613" w:h="15211" w:wrap="none" w:vAnchor="page" w:hAnchor="page" w:x="601" w:y="740"/>
              <w:shd w:val="clear" w:color="auto" w:fill="auto"/>
              <w:ind w:firstLine="540"/>
            </w:pPr>
            <w:r>
              <w:rPr>
                <w:rStyle w:val="21"/>
              </w:rPr>
              <w:t>В соответствии со ст. 450 ГК РФ по соглашению сторон.</w:t>
            </w:r>
          </w:p>
        </w:tc>
      </w:tr>
      <w:tr w:rsidR="00EE724B">
        <w:trPr>
          <w:trHeight w:hRule="exact" w:val="14093"/>
        </w:trPr>
        <w:tc>
          <w:tcPr>
            <w:tcW w:w="2947" w:type="dxa"/>
            <w:tcBorders>
              <w:top w:val="single" w:sz="4" w:space="0" w:color="auto"/>
              <w:left w:val="single" w:sz="4" w:space="0" w:color="auto"/>
              <w:bottom w:val="single" w:sz="4" w:space="0" w:color="auto"/>
            </w:tcBorders>
            <w:shd w:val="clear" w:color="auto" w:fill="FFFFFF"/>
          </w:tcPr>
          <w:p w:rsidR="00EE724B" w:rsidRDefault="000D4986">
            <w:pPr>
              <w:pStyle w:val="20"/>
              <w:framePr w:w="10613" w:h="15211" w:wrap="none" w:vAnchor="page" w:hAnchor="page" w:x="601" w:y="740"/>
              <w:shd w:val="clear" w:color="auto" w:fill="auto"/>
              <w:spacing w:line="220" w:lineRule="exact"/>
              <w:ind w:left="240"/>
              <w:jc w:val="left"/>
            </w:pPr>
            <w:r>
              <w:rPr>
                <w:rStyle w:val="21"/>
              </w:rPr>
              <w:t>Ответственность сторон</w:t>
            </w:r>
          </w:p>
        </w:tc>
        <w:tc>
          <w:tcPr>
            <w:tcW w:w="7666" w:type="dxa"/>
            <w:tcBorders>
              <w:top w:val="single" w:sz="4" w:space="0" w:color="auto"/>
              <w:left w:val="single" w:sz="4" w:space="0" w:color="auto"/>
              <w:bottom w:val="single" w:sz="4" w:space="0" w:color="auto"/>
              <w:right w:val="single" w:sz="4" w:space="0" w:color="auto"/>
            </w:tcBorders>
            <w:shd w:val="clear" w:color="auto" w:fill="FFFFFF"/>
            <w:vAlign w:val="bottom"/>
          </w:tcPr>
          <w:p w:rsidR="00EE724B" w:rsidRDefault="000D4986">
            <w:pPr>
              <w:pStyle w:val="20"/>
              <w:framePr w:w="10613" w:h="15211" w:wrap="none" w:vAnchor="page" w:hAnchor="page" w:x="601" w:y="740"/>
              <w:shd w:val="clear" w:color="auto" w:fill="auto"/>
              <w:ind w:firstLine="540"/>
            </w:pPr>
            <w:r>
              <w:rPr>
                <w:rStyle w:val="21"/>
              </w:rPr>
              <w:t>Стороны несут ответственность за неисполнение или ненадлежащее исполнение обязательств по настоящему Договору в соответствии с действующим законодательством.</w:t>
            </w:r>
          </w:p>
          <w:p w:rsidR="00EE724B" w:rsidRDefault="000D4986">
            <w:pPr>
              <w:pStyle w:val="20"/>
              <w:framePr w:w="10613" w:h="15211" w:wrap="none" w:vAnchor="page" w:hAnchor="page" w:x="601" w:y="740"/>
              <w:shd w:val="clear" w:color="auto" w:fill="auto"/>
              <w:ind w:firstLine="540"/>
            </w:pPr>
            <w:r>
              <w:rPr>
                <w:rStyle w:val="21"/>
              </w:rPr>
              <w:t xml:space="preserve">Энергосбытовая компания несет перед Потребителем ответственность за неисполнение или ненадлежащее исполнение обязательств по настоящему Договору. За неоказание или ненадлежащее оказание услуг по передаче электрической энергии ответственность перед Потребителем несет оказывающая такие услуги сетевая организация. </w:t>
            </w:r>
            <w:r>
              <w:rPr>
                <w:rStyle w:val="23"/>
              </w:rPr>
              <w:t>(абз.2 п.30, абз.10 п.40 Основных положений - существенное условие)</w:t>
            </w:r>
          </w:p>
          <w:p w:rsidR="00EE724B" w:rsidRDefault="000D4986">
            <w:pPr>
              <w:pStyle w:val="20"/>
              <w:framePr w:w="10613" w:h="15211" w:wrap="none" w:vAnchor="page" w:hAnchor="page" w:x="601" w:y="740"/>
              <w:shd w:val="clear" w:color="auto" w:fill="auto"/>
              <w:ind w:firstLine="540"/>
            </w:pPr>
            <w:r>
              <w:rPr>
                <w:rStyle w:val="21"/>
              </w:rPr>
              <w:t xml:space="preserve">В случае неисполнения либо ненадлежащего исполнения Потребителем обязательств по оплате приобретенной электрической энергии и мощности (пункт 7.1. Договора), Потребитель уплачивает Энергосбытовой компании проценты в размере 2-х кратной действующей ставки рефинансирования Центрального банка России от суммы задолженности за каждый день просрочки платежа </w:t>
            </w:r>
            <w:r>
              <w:rPr>
                <w:rStyle w:val="23"/>
              </w:rPr>
              <w:t>(абз.10 п.40 Основных положений - существенное условие).</w:t>
            </w:r>
          </w:p>
          <w:p w:rsidR="00EE724B" w:rsidRDefault="000D4986">
            <w:pPr>
              <w:pStyle w:val="20"/>
              <w:framePr w:w="10613" w:h="15211" w:wrap="none" w:vAnchor="page" w:hAnchor="page" w:x="601" w:y="740"/>
              <w:shd w:val="clear" w:color="auto" w:fill="auto"/>
              <w:ind w:firstLine="540"/>
            </w:pPr>
            <w:r>
              <w:rPr>
                <w:rStyle w:val="21"/>
              </w:rPr>
              <w:t>Спор, возникающий из отношений сторон по купле-продаже электрической энергии и оказания услуг по передаче электрической энергии, может быть передан на разрешение арбитражного суда КБР после принятия сторонами мер по досудебному урегулированию по истечении 5 (Пяти) календарных дней, со дня получения стороной претензии (требования).</w:t>
            </w:r>
          </w:p>
          <w:p w:rsidR="00EE724B" w:rsidRDefault="000D4986">
            <w:pPr>
              <w:pStyle w:val="20"/>
              <w:framePr w:w="10613" w:h="15211" w:wrap="none" w:vAnchor="page" w:hAnchor="page" w:x="601" w:y="740"/>
              <w:shd w:val="clear" w:color="auto" w:fill="auto"/>
              <w:ind w:firstLine="540"/>
            </w:pPr>
            <w:r>
              <w:rPr>
                <w:rStyle w:val="21"/>
              </w:rPr>
              <w:t xml:space="preserve">Инициатор введения ограничения режима потребления или сетевая организация (если по ее инициативе вводится ограничение режима потребления) и исполнитель несут перед Потребителем установленную гражданским законодательством Российской Федерации ответственность за несоблюдение ими установленного Правилами ограничения порядка введения ограничения режима потребления, а также за возникшие у Потребителя в связи с этим убытки. </w:t>
            </w:r>
            <w:r>
              <w:rPr>
                <w:rStyle w:val="23"/>
              </w:rPr>
              <w:t>(абз.10 п.40 Основных положений - существенное условие, а также абз.4 п.6, п.25 Правил ограничения)</w:t>
            </w:r>
          </w:p>
          <w:p w:rsidR="00EE724B" w:rsidRDefault="000D4986">
            <w:pPr>
              <w:pStyle w:val="20"/>
              <w:framePr w:w="10613" w:h="15211" w:wrap="none" w:vAnchor="page" w:hAnchor="page" w:x="601" w:y="740"/>
              <w:shd w:val="clear" w:color="auto" w:fill="auto"/>
              <w:ind w:firstLine="540"/>
            </w:pPr>
            <w:r>
              <w:rPr>
                <w:rStyle w:val="21"/>
              </w:rPr>
              <w:t xml:space="preserve">Потребитель несет ответственность за убытки, возникшие у Энергосбытовой компании и иных потребителей, надлежащим образом исполняющих свои обязательства по оплате электрической энергии, в связи с введением ограничения режима потребления электрической энергии за любое из нижеперечисленных нарушений, допущенное в соответствующем расчетном текущем периоде: </w:t>
            </w:r>
            <w:r>
              <w:rPr>
                <w:rStyle w:val="23"/>
              </w:rPr>
              <w:t>(абз.10 п.40 Основных положений - существенное условие)</w:t>
            </w:r>
          </w:p>
          <w:p w:rsidR="00EE724B" w:rsidRDefault="000D4986">
            <w:pPr>
              <w:pStyle w:val="20"/>
              <w:framePr w:w="10613" w:h="15211" w:wrap="none" w:vAnchor="page" w:hAnchor="page" w:x="601" w:y="740"/>
              <w:numPr>
                <w:ilvl w:val="0"/>
                <w:numId w:val="2"/>
              </w:numPr>
              <w:shd w:val="clear" w:color="auto" w:fill="auto"/>
              <w:tabs>
                <w:tab w:val="left" w:pos="586"/>
              </w:tabs>
              <w:ind w:firstLine="540"/>
            </w:pPr>
            <w:r>
              <w:rPr>
                <w:rStyle w:val="21"/>
              </w:rPr>
              <w:t>самовольного возобновления подачи электроэнергии, в том числе нарушения пломб, установленных Энергосбытовой компанией и(или) сетевой организацией, в связи с введенным в отношении Потребителя ограничением режима потребления электрической энергии;</w:t>
            </w:r>
          </w:p>
          <w:p w:rsidR="00EE724B" w:rsidRDefault="000D4986">
            <w:pPr>
              <w:pStyle w:val="20"/>
              <w:framePr w:w="10613" w:h="15211" w:wrap="none" w:vAnchor="page" w:hAnchor="page" w:x="601" w:y="740"/>
              <w:numPr>
                <w:ilvl w:val="0"/>
                <w:numId w:val="2"/>
              </w:numPr>
              <w:shd w:val="clear" w:color="auto" w:fill="auto"/>
              <w:tabs>
                <w:tab w:val="left" w:pos="686"/>
              </w:tabs>
              <w:ind w:firstLine="540"/>
            </w:pPr>
            <w:r>
              <w:rPr>
                <w:rStyle w:val="21"/>
              </w:rPr>
              <w:t>невыполнения требований, содержащихся в уведомлении об ограничении режима потребления, а также в графиках аварийного ограничения потребления, в соответствии с которыми Потребитель, уведомленный о необходимости ограничить потребление электрической энергии (мощности), не обеспечил выполнение самостоятельно технических (технологических) мероприятий, обеспечивающих снижение потребления (ограничение) электрической энергии в указанных в уведомлении объемах и периодах суток;</w:t>
            </w:r>
          </w:p>
        </w:tc>
      </w:tr>
    </w:tbl>
    <w:p w:rsidR="00EE724B" w:rsidRDefault="00EE724B">
      <w:pPr>
        <w:rPr>
          <w:sz w:val="2"/>
          <w:szCs w:val="2"/>
        </w:rPr>
        <w:sectPr w:rsidR="00EE724B">
          <w:pgSz w:w="11900" w:h="16840"/>
          <w:pgMar w:top="360" w:right="360" w:bottom="360" w:left="360" w:header="0" w:footer="3" w:gutter="0"/>
          <w:cols w:space="720"/>
          <w:noEndnote/>
          <w:docGrid w:linePitch="360"/>
        </w:sectPr>
      </w:pPr>
    </w:p>
    <w:tbl>
      <w:tblPr>
        <w:tblOverlap w:val="never"/>
        <w:tblW w:w="0" w:type="auto"/>
        <w:tblLayout w:type="fixed"/>
        <w:tblCellMar>
          <w:left w:w="10" w:type="dxa"/>
          <w:right w:w="10" w:type="dxa"/>
        </w:tblCellMar>
        <w:tblLook w:val="04A0"/>
      </w:tblPr>
      <w:tblGrid>
        <w:gridCol w:w="2942"/>
        <w:gridCol w:w="7656"/>
      </w:tblGrid>
      <w:tr w:rsidR="00EE724B">
        <w:trPr>
          <w:trHeight w:hRule="exact" w:val="3326"/>
        </w:trPr>
        <w:tc>
          <w:tcPr>
            <w:tcW w:w="2942" w:type="dxa"/>
            <w:tcBorders>
              <w:top w:val="single" w:sz="4" w:space="0" w:color="auto"/>
              <w:left w:val="single" w:sz="4" w:space="0" w:color="auto"/>
            </w:tcBorders>
            <w:shd w:val="clear" w:color="auto" w:fill="FFFFFF"/>
          </w:tcPr>
          <w:p w:rsidR="00EE724B" w:rsidRDefault="00EE724B">
            <w:pPr>
              <w:framePr w:w="10598" w:h="15206" w:wrap="none" w:vAnchor="page" w:hAnchor="page" w:x="608" w:y="740"/>
              <w:rPr>
                <w:sz w:val="10"/>
                <w:szCs w:val="10"/>
              </w:rPr>
            </w:pPr>
          </w:p>
        </w:tc>
        <w:tc>
          <w:tcPr>
            <w:tcW w:w="7656" w:type="dxa"/>
            <w:tcBorders>
              <w:top w:val="single" w:sz="4" w:space="0" w:color="auto"/>
              <w:left w:val="single" w:sz="4" w:space="0" w:color="auto"/>
              <w:right w:val="single" w:sz="4" w:space="0" w:color="auto"/>
            </w:tcBorders>
            <w:shd w:val="clear" w:color="auto" w:fill="FFFFFF"/>
          </w:tcPr>
          <w:p w:rsidR="00EE724B" w:rsidRDefault="000D4986">
            <w:pPr>
              <w:pStyle w:val="20"/>
              <w:framePr w:w="10598" w:h="15206" w:wrap="none" w:vAnchor="page" w:hAnchor="page" w:x="608" w:y="740"/>
              <w:shd w:val="clear" w:color="auto" w:fill="auto"/>
              <w:ind w:firstLine="540"/>
            </w:pPr>
            <w:r>
              <w:rPr>
                <w:rStyle w:val="21"/>
              </w:rPr>
              <w:t xml:space="preserve">- нарушение требований </w:t>
            </w:r>
            <w:r>
              <w:rPr>
                <w:rStyle w:val="22"/>
              </w:rPr>
              <w:t xml:space="preserve">пункта 2.3.2.-2.3.5. </w:t>
            </w:r>
            <w:r>
              <w:rPr>
                <w:rStyle w:val="21"/>
              </w:rPr>
              <w:t xml:space="preserve">настоящего Договора. </w:t>
            </w:r>
            <w:r>
              <w:rPr>
                <w:rStyle w:val="23"/>
              </w:rPr>
              <w:t>(абз.2 п.41 Основных положений, подп. «е» п.13 ПНД - существенное условие)</w:t>
            </w:r>
          </w:p>
          <w:p w:rsidR="00EE724B" w:rsidRDefault="000D4986">
            <w:pPr>
              <w:pStyle w:val="20"/>
              <w:framePr w:w="10598" w:h="15206" w:wrap="none" w:vAnchor="page" w:hAnchor="page" w:x="608" w:y="740"/>
              <w:shd w:val="clear" w:color="auto" w:fill="auto"/>
              <w:ind w:firstLine="660"/>
            </w:pPr>
            <w:r>
              <w:rPr>
                <w:rStyle w:val="21"/>
              </w:rPr>
              <w:t xml:space="preserve">Потребитель и сетевая организация несут ответственность за состояние и обслуживание объектов электросетевого хозяйства, в пределах балансовой принадлежности сетевой организации и Потребителя и фиксируется в акте разграничения балансовой принадлежности электросетей и акте эксплуатационной ответственности сторон, являющихся приложениями к настоящему Договору </w:t>
            </w:r>
            <w:r>
              <w:rPr>
                <w:rStyle w:val="23"/>
              </w:rPr>
              <w:t>(абз.2 п.41 Основных положений, подп. "в" п.13 ПНД - существенное условие).</w:t>
            </w:r>
          </w:p>
        </w:tc>
      </w:tr>
      <w:tr w:rsidR="00EE724B">
        <w:trPr>
          <w:trHeight w:hRule="exact" w:val="11880"/>
        </w:trPr>
        <w:tc>
          <w:tcPr>
            <w:tcW w:w="2942" w:type="dxa"/>
            <w:tcBorders>
              <w:top w:val="single" w:sz="4" w:space="0" w:color="auto"/>
              <w:left w:val="single" w:sz="4" w:space="0" w:color="auto"/>
              <w:bottom w:val="single" w:sz="4" w:space="0" w:color="auto"/>
            </w:tcBorders>
            <w:shd w:val="clear" w:color="auto" w:fill="FFFFFF"/>
            <w:vAlign w:val="center"/>
          </w:tcPr>
          <w:p w:rsidR="00EE724B" w:rsidRDefault="000D4986">
            <w:pPr>
              <w:pStyle w:val="20"/>
              <w:framePr w:w="10598" w:h="15206" w:wrap="none" w:vAnchor="page" w:hAnchor="page" w:x="608" w:y="740"/>
              <w:shd w:val="clear" w:color="auto" w:fill="auto"/>
              <w:spacing w:line="278" w:lineRule="exact"/>
              <w:jc w:val="center"/>
            </w:pPr>
            <w:r>
              <w:rPr>
                <w:rStyle w:val="21"/>
              </w:rPr>
              <w:t>Иная существенная информация для потребителей</w:t>
            </w:r>
          </w:p>
        </w:tc>
        <w:tc>
          <w:tcPr>
            <w:tcW w:w="7656" w:type="dxa"/>
            <w:tcBorders>
              <w:top w:val="single" w:sz="4" w:space="0" w:color="auto"/>
              <w:left w:val="single" w:sz="4" w:space="0" w:color="auto"/>
              <w:bottom w:val="single" w:sz="4" w:space="0" w:color="auto"/>
              <w:right w:val="single" w:sz="4" w:space="0" w:color="auto"/>
            </w:tcBorders>
            <w:shd w:val="clear" w:color="auto" w:fill="FFFFFF"/>
            <w:vAlign w:val="bottom"/>
          </w:tcPr>
          <w:p w:rsidR="00EE724B" w:rsidRDefault="000D4986">
            <w:pPr>
              <w:pStyle w:val="20"/>
              <w:framePr w:w="10598" w:h="15206" w:wrap="none" w:vAnchor="page" w:hAnchor="page" w:x="608" w:y="740"/>
              <w:shd w:val="clear" w:color="auto" w:fill="auto"/>
              <w:ind w:firstLine="660"/>
            </w:pPr>
            <w:r>
              <w:rPr>
                <w:rStyle w:val="21"/>
              </w:rPr>
              <w:t>Потребители, максимальная мощность энергопринимающих устройств (совокупности энергопринимающих устройств) которых в границах балансовой принадлежности менее 670 кВт (покупатели в отношении таких потребителей), осуществляют выбор ценовой категории самостоятельно с учетом положений настоящего пункта посредством уведомления гарантирующего поставщика в течение 1 месяца с даты принятия решения об установлении тарифов на услуги по передаче электрической энергии в соответствующем субъекте Российской Федерации (при этом выбранная ценовая категория применяется для расчетов за электрическую энергию (мощность) с даты введения в действие указанных тарифов на услуги по передаче электрической энергии) и имеют право выбрать:</w:t>
            </w:r>
          </w:p>
          <w:p w:rsidR="00EE724B" w:rsidRDefault="000D4986">
            <w:pPr>
              <w:pStyle w:val="20"/>
              <w:framePr w:w="10598" w:h="15206" w:wrap="none" w:vAnchor="page" w:hAnchor="page" w:x="608" w:y="740"/>
              <w:shd w:val="clear" w:color="auto" w:fill="auto"/>
              <w:jc w:val="left"/>
            </w:pPr>
            <w:r>
              <w:rPr>
                <w:rStyle w:val="21"/>
              </w:rPr>
              <w:t xml:space="preserve">(в ред. </w:t>
            </w:r>
            <w:r>
              <w:rPr>
                <w:rStyle w:val="23"/>
              </w:rPr>
              <w:t xml:space="preserve">Постановления </w:t>
            </w:r>
            <w:r>
              <w:rPr>
                <w:rStyle w:val="21"/>
              </w:rPr>
              <w:t xml:space="preserve">Правительства РФ от 17.05.2016 </w:t>
            </w:r>
            <w:r>
              <w:rPr>
                <w:rStyle w:val="21"/>
                <w:lang w:val="en-US" w:eastAsia="en-US" w:bidi="en-US"/>
              </w:rPr>
              <w:t>N</w:t>
            </w:r>
            <w:r w:rsidRPr="00C25778">
              <w:rPr>
                <w:rStyle w:val="21"/>
                <w:lang w:eastAsia="en-US" w:bidi="en-US"/>
              </w:rPr>
              <w:t xml:space="preserve"> </w:t>
            </w:r>
            <w:r>
              <w:rPr>
                <w:rStyle w:val="21"/>
              </w:rPr>
              <w:t>433)</w:t>
            </w:r>
          </w:p>
          <w:p w:rsidR="00EE724B" w:rsidRDefault="000D4986">
            <w:pPr>
              <w:pStyle w:val="20"/>
              <w:framePr w:w="10598" w:h="15206" w:wrap="none" w:vAnchor="page" w:hAnchor="page" w:x="608" w:y="740"/>
              <w:shd w:val="clear" w:color="auto" w:fill="auto"/>
              <w:ind w:firstLine="660"/>
            </w:pPr>
            <w:r>
              <w:rPr>
                <w:rStyle w:val="21"/>
              </w:rPr>
              <w:t>первую ценовую категорию - при условии выбора одноставочного варианта тарифа на услуги по передаче электрической энергии;</w:t>
            </w:r>
          </w:p>
          <w:p w:rsidR="00EE724B" w:rsidRDefault="000D4986">
            <w:pPr>
              <w:pStyle w:val="20"/>
              <w:framePr w:w="10598" w:h="15206" w:wrap="none" w:vAnchor="page" w:hAnchor="page" w:x="608" w:y="740"/>
              <w:shd w:val="clear" w:color="auto" w:fill="auto"/>
              <w:ind w:firstLine="660"/>
            </w:pPr>
            <w:r>
              <w:rPr>
                <w:rStyle w:val="21"/>
              </w:rPr>
              <w:t>вторую ценовую категорию - в случае, если энергопринимающие устройства, в отношении которых приобретается электрическая энергия (мощность), оборудованы приборами учета, позволяющими получать данные о потреблении электрической энергии по зонам суток, при условии выбора одноставочного варианта тарифа на услуги по передаче электрической энергии;</w:t>
            </w:r>
          </w:p>
          <w:p w:rsidR="00EE724B" w:rsidRDefault="000D4986">
            <w:pPr>
              <w:pStyle w:val="20"/>
              <w:framePr w:w="10598" w:h="15206" w:wrap="none" w:vAnchor="page" w:hAnchor="page" w:x="608" w:y="740"/>
              <w:shd w:val="clear" w:color="auto" w:fill="auto"/>
              <w:ind w:firstLine="660"/>
            </w:pPr>
            <w:r>
              <w:rPr>
                <w:rStyle w:val="21"/>
              </w:rPr>
              <w:t>третью ценовую категорию - в случае, если энергопринимающие устройства, в отношении которых приобретается электрическая энергия (мощность), оборудованы приборами учета, позволяющими измерять почасовые объемы потребления электрической энергии, при условии выбора одноставочного варианта тарифа на услуги по передаче электрической энергии;</w:t>
            </w:r>
          </w:p>
          <w:p w:rsidR="00EE724B" w:rsidRDefault="000D4986">
            <w:pPr>
              <w:pStyle w:val="20"/>
              <w:framePr w:w="10598" w:h="15206" w:wrap="none" w:vAnchor="page" w:hAnchor="page" w:x="608" w:y="740"/>
              <w:shd w:val="clear" w:color="auto" w:fill="auto"/>
              <w:ind w:firstLine="660"/>
            </w:pPr>
            <w:r>
              <w:rPr>
                <w:rStyle w:val="21"/>
              </w:rPr>
              <w:t>четвертую ценовую категорию - в случае, если энергопринимающие устройства, в отношении которых приобретается электрическая энергия (мощность), оборудованы приборами учета, позволяющими измерять почасовые объемы потребления электрической энергии, при условии выбора двухставочного варианта тарифа на услуги по передаче электрической энергии или осуществления расчетов по двухставочному варианту тарифа на услуги по передаче электрической энергии без выбора варианта тарифа на услуги по передаче электрической энергии;</w:t>
            </w:r>
          </w:p>
          <w:p w:rsidR="00EE724B" w:rsidRDefault="000D4986">
            <w:pPr>
              <w:pStyle w:val="20"/>
              <w:framePr w:w="10598" w:h="15206" w:wrap="none" w:vAnchor="page" w:hAnchor="page" w:x="608" w:y="740"/>
              <w:shd w:val="clear" w:color="auto" w:fill="auto"/>
              <w:ind w:firstLine="660"/>
            </w:pPr>
            <w:r>
              <w:rPr>
                <w:rStyle w:val="21"/>
              </w:rPr>
              <w:t>пятую ценовую категорию - в случае, если энергопринимающие устройства, в отношении которых приобретается электрическая энергия (мощность), оборудованы приборами учета, позволяющими измерять почасовые объемы потребления электрической энергии, при условии выбора одноставочного варианта тарифа на услуги по передаче электрической энергии и включения в договор энергоснабжения (купли-продажи (поставки) электрической энергии (мощности))</w:t>
            </w:r>
          </w:p>
        </w:tc>
      </w:tr>
    </w:tbl>
    <w:p w:rsidR="00EE724B" w:rsidRDefault="00EE724B">
      <w:pPr>
        <w:rPr>
          <w:sz w:val="2"/>
          <w:szCs w:val="2"/>
        </w:rPr>
        <w:sectPr w:rsidR="00EE724B">
          <w:pgSz w:w="11900" w:h="16840"/>
          <w:pgMar w:top="360" w:right="360" w:bottom="360" w:left="360" w:header="0" w:footer="3" w:gutter="0"/>
          <w:cols w:space="720"/>
          <w:noEndnote/>
          <w:docGrid w:linePitch="360"/>
        </w:sectPr>
      </w:pPr>
    </w:p>
    <w:p w:rsidR="00EE724B" w:rsidRDefault="000D4986">
      <w:pPr>
        <w:pStyle w:val="20"/>
        <w:framePr w:w="10598" w:h="15240" w:hRule="exact" w:wrap="none" w:vAnchor="page" w:hAnchor="page" w:x="608" w:y="689"/>
        <w:pBdr>
          <w:top w:val="single" w:sz="4" w:space="1" w:color="auto"/>
          <w:left w:val="single" w:sz="4" w:space="4" w:color="auto"/>
          <w:bottom w:val="single" w:sz="4" w:space="1" w:color="auto"/>
          <w:right w:val="single" w:sz="4" w:space="4" w:color="auto"/>
        </w:pBdr>
        <w:shd w:val="clear" w:color="auto" w:fill="auto"/>
        <w:ind w:left="3060"/>
      </w:pPr>
      <w:r>
        <w:lastRenderedPageBreak/>
        <w:t>условия о планировании объемов потребления электрической энергии по часам суток;</w:t>
      </w:r>
    </w:p>
    <w:p w:rsidR="00EE724B" w:rsidRDefault="000D4986">
      <w:pPr>
        <w:pStyle w:val="20"/>
        <w:framePr w:w="10598" w:h="15240" w:hRule="exact" w:wrap="none" w:vAnchor="page" w:hAnchor="page" w:x="608" w:y="689"/>
        <w:pBdr>
          <w:top w:val="single" w:sz="4" w:space="1" w:color="auto"/>
          <w:left w:val="single" w:sz="4" w:space="4" w:color="auto"/>
          <w:bottom w:val="single" w:sz="4" w:space="1" w:color="auto"/>
          <w:right w:val="single" w:sz="4" w:space="4" w:color="auto"/>
        </w:pBdr>
        <w:shd w:val="clear" w:color="auto" w:fill="auto"/>
        <w:ind w:left="3060" w:firstLine="540"/>
      </w:pPr>
      <w:r>
        <w:t>шестую ценовую категорию - в случае, если энергопринимающие устройства, в отношении которых приобретается электрическая энергия (мощность), оборудованы приборами учета, позволяющими измерять почасовые объемы потребления электрической энергии, при условии выбора двухставочного варианта тарифа на услуги по передаче электрической энергии или осуществления расчетов по двухставочному варианту тарифа на услуги по передаче электрической энергии без выбора варианта тарифа на услуги по передаче электрической энергии, а также при включении в договор энергоснабжения (купли-продажи (поставки) электрической энергии (мощности)) условия о планировании объемов потребления электрической энергии по часам суток.</w:t>
      </w:r>
    </w:p>
    <w:p w:rsidR="00EE724B" w:rsidRDefault="000D4986">
      <w:pPr>
        <w:pStyle w:val="20"/>
        <w:framePr w:w="10598" w:h="15240" w:hRule="exact" w:wrap="none" w:vAnchor="page" w:hAnchor="page" w:x="608" w:y="689"/>
        <w:pBdr>
          <w:top w:val="single" w:sz="4" w:space="1" w:color="auto"/>
          <w:left w:val="single" w:sz="4" w:space="4" w:color="auto"/>
          <w:bottom w:val="single" w:sz="4" w:space="1" w:color="auto"/>
          <w:right w:val="single" w:sz="4" w:space="4" w:color="auto"/>
        </w:pBdr>
        <w:shd w:val="clear" w:color="auto" w:fill="auto"/>
        <w:tabs>
          <w:tab w:val="left" w:pos="4615"/>
          <w:tab w:val="left" w:pos="7366"/>
          <w:tab w:val="left" w:pos="8983"/>
        </w:tabs>
        <w:ind w:left="3060" w:firstLine="540"/>
      </w:pPr>
      <w:r>
        <w:t>В отношении потребителей, максимальная мощность энергопринимающих устройств (совокупности энергопринимающих устройств) которых в границах балансовой принадлежности составляет не менее 670 кВт (далее - потребители с максимальной мощностью энергопринимающих устройств (совокупности энергопринимающих устройств) не менее 670 кВт), до 1 июля 2013 г. ценовая категория определяется в порядке, установленном в настоящем пункте в отношении потребителей с максимальной мощностью энергопринимающих устройств (совокупности энергопринимающих устройств) менее 670 кВт, а с 1 июля 2013 г. (с 1 июля 2017 г. на территориях отдельных частей ценовых зон оптового рынка, ранее относившихся к технологически изолированным территориальным электроэнергетическим системам, для которых Правительством Российской Федерации устанавливаются особенности функционирования оптового и розничных рынков) - без возможности выбора и применения в отношении потребителей с максимальной мощностью</w:t>
      </w:r>
      <w:r>
        <w:tab/>
        <w:t>энергопринимающих</w:t>
      </w:r>
      <w:r>
        <w:tab/>
        <w:t>устройств</w:t>
      </w:r>
      <w:r>
        <w:tab/>
        <w:t>(совокупности</w:t>
      </w:r>
    </w:p>
    <w:p w:rsidR="00EE724B" w:rsidRDefault="000D4986">
      <w:pPr>
        <w:pStyle w:val="20"/>
        <w:framePr w:w="10598" w:h="15240" w:hRule="exact" w:wrap="none" w:vAnchor="page" w:hAnchor="page" w:x="608" w:y="689"/>
        <w:pBdr>
          <w:top w:val="single" w:sz="4" w:space="1" w:color="auto"/>
          <w:left w:val="single" w:sz="4" w:space="4" w:color="auto"/>
          <w:bottom w:val="single" w:sz="4" w:space="1" w:color="auto"/>
          <w:right w:val="single" w:sz="4" w:space="4" w:color="auto"/>
        </w:pBdr>
        <w:shd w:val="clear" w:color="auto" w:fill="auto"/>
        <w:ind w:left="3060"/>
      </w:pPr>
      <w:r>
        <w:t>энергопринимающих устройств) не менее 670 кВт первой и второй ценовых категорий в соответствии со следующими требованиями.</w:t>
      </w:r>
    </w:p>
    <w:p w:rsidR="00EE724B" w:rsidRDefault="000D4986">
      <w:pPr>
        <w:pStyle w:val="20"/>
        <w:framePr w:w="10598" w:h="15240" w:hRule="exact" w:wrap="none" w:vAnchor="page" w:hAnchor="page" w:x="608" w:y="689"/>
        <w:pBdr>
          <w:top w:val="single" w:sz="4" w:space="1" w:color="auto"/>
          <w:left w:val="single" w:sz="4" w:space="4" w:color="auto"/>
          <w:bottom w:val="single" w:sz="4" w:space="1" w:color="auto"/>
          <w:right w:val="single" w:sz="4" w:space="4" w:color="auto"/>
        </w:pBdr>
        <w:shd w:val="clear" w:color="auto" w:fill="auto"/>
        <w:ind w:left="3060"/>
      </w:pPr>
      <w:r>
        <w:t xml:space="preserve">(в ред. Постановлений Правительства РФ от 17.05.2016 </w:t>
      </w:r>
      <w:r>
        <w:rPr>
          <w:rStyle w:val="24"/>
          <w:lang w:val="en-US" w:eastAsia="en-US" w:bidi="en-US"/>
        </w:rPr>
        <w:t>N</w:t>
      </w:r>
      <w:r w:rsidRPr="00C25778">
        <w:rPr>
          <w:rStyle w:val="24"/>
          <w:lang w:eastAsia="en-US" w:bidi="en-US"/>
        </w:rPr>
        <w:t xml:space="preserve"> </w:t>
      </w:r>
      <w:r>
        <w:rPr>
          <w:rStyle w:val="24"/>
        </w:rPr>
        <w:t>433</w:t>
      </w:r>
      <w:r>
        <w:t xml:space="preserve">, от 23.12.2016 </w:t>
      </w:r>
      <w:r>
        <w:rPr>
          <w:rStyle w:val="24"/>
          <w:lang w:val="en-US" w:eastAsia="en-US" w:bidi="en-US"/>
        </w:rPr>
        <w:t>N</w:t>
      </w:r>
      <w:r w:rsidRPr="00C25778">
        <w:rPr>
          <w:rStyle w:val="24"/>
          <w:lang w:eastAsia="en-US" w:bidi="en-US"/>
        </w:rPr>
        <w:t xml:space="preserve"> </w:t>
      </w:r>
      <w:r>
        <w:rPr>
          <w:rStyle w:val="24"/>
        </w:rPr>
        <w:t>1446</w:t>
      </w:r>
      <w:r>
        <w:t>)</w:t>
      </w:r>
    </w:p>
    <w:p w:rsidR="00EE724B" w:rsidRDefault="000D4986">
      <w:pPr>
        <w:pStyle w:val="20"/>
        <w:framePr w:w="10598" w:h="15240" w:hRule="exact" w:wrap="none" w:vAnchor="page" w:hAnchor="page" w:x="608" w:y="689"/>
        <w:pBdr>
          <w:top w:val="single" w:sz="4" w:space="1" w:color="auto"/>
          <w:left w:val="single" w:sz="4" w:space="4" w:color="auto"/>
          <w:bottom w:val="single" w:sz="4" w:space="1" w:color="auto"/>
          <w:right w:val="single" w:sz="4" w:space="4" w:color="auto"/>
        </w:pBdr>
        <w:shd w:val="clear" w:color="auto" w:fill="auto"/>
        <w:tabs>
          <w:tab w:val="left" w:pos="4615"/>
          <w:tab w:val="left" w:pos="7366"/>
          <w:tab w:val="left" w:pos="8983"/>
        </w:tabs>
        <w:ind w:left="3060" w:firstLine="540"/>
      </w:pPr>
      <w:r>
        <w:t>Потребители с максимальной мощностью энергопринимающих устройств (совокупности энергопринимающих устройств) не менее 670 кВт осуществляют выбор ценовой категории самостоятельно с учетом положений</w:t>
      </w:r>
      <w:r>
        <w:tab/>
        <w:t>настоящего пункта</w:t>
      </w:r>
      <w:r>
        <w:tab/>
        <w:t>посредством</w:t>
      </w:r>
      <w:r>
        <w:tab/>
        <w:t>уведомления</w:t>
      </w:r>
    </w:p>
    <w:p w:rsidR="00EE724B" w:rsidRDefault="000D4986">
      <w:pPr>
        <w:pStyle w:val="20"/>
        <w:framePr w:w="10598" w:h="15240" w:hRule="exact" w:wrap="none" w:vAnchor="page" w:hAnchor="page" w:x="608" w:y="689"/>
        <w:pBdr>
          <w:top w:val="single" w:sz="4" w:space="1" w:color="auto"/>
          <w:left w:val="single" w:sz="4" w:space="4" w:color="auto"/>
          <w:bottom w:val="single" w:sz="4" w:space="1" w:color="auto"/>
          <w:right w:val="single" w:sz="4" w:space="4" w:color="auto"/>
        </w:pBdr>
        <w:shd w:val="clear" w:color="auto" w:fill="auto"/>
        <w:ind w:left="3060"/>
      </w:pPr>
      <w:r>
        <w:t>гарантирующего поставщика в течение 1 месяца с даты принятия решения об установлении тарифов на услуги по передаче электрической энергии в соответствующем субъекте Российской Федерации (при этом выбранная ценовая категория применяется для расчетов за электрическую энергию (мощность) с даты введения в действие указанных тарифов на услуги по передаче электрической энергии) и имеют право выбрать:</w:t>
      </w:r>
    </w:p>
    <w:p w:rsidR="00EE724B" w:rsidRDefault="000D4986">
      <w:pPr>
        <w:pStyle w:val="20"/>
        <w:framePr w:w="10598" w:h="15240" w:hRule="exact" w:wrap="none" w:vAnchor="page" w:hAnchor="page" w:x="608" w:y="689"/>
        <w:pBdr>
          <w:top w:val="single" w:sz="4" w:space="1" w:color="auto"/>
          <w:left w:val="single" w:sz="4" w:space="4" w:color="auto"/>
          <w:bottom w:val="single" w:sz="4" w:space="1" w:color="auto"/>
          <w:right w:val="single" w:sz="4" w:space="4" w:color="auto"/>
        </w:pBdr>
        <w:shd w:val="clear" w:color="auto" w:fill="auto"/>
        <w:ind w:left="3060"/>
      </w:pPr>
      <w:r>
        <w:t xml:space="preserve">(в ред. </w:t>
      </w:r>
      <w:r>
        <w:rPr>
          <w:rStyle w:val="24"/>
        </w:rPr>
        <w:t xml:space="preserve">Постановления </w:t>
      </w:r>
      <w:r>
        <w:t xml:space="preserve">Правительства РФ от 17.05.2016 </w:t>
      </w:r>
      <w:r>
        <w:rPr>
          <w:lang w:val="en-US" w:eastAsia="en-US" w:bidi="en-US"/>
        </w:rPr>
        <w:t>N</w:t>
      </w:r>
      <w:r w:rsidRPr="00C25778">
        <w:rPr>
          <w:lang w:eastAsia="en-US" w:bidi="en-US"/>
        </w:rPr>
        <w:t xml:space="preserve"> </w:t>
      </w:r>
      <w:r>
        <w:t>433)</w:t>
      </w:r>
    </w:p>
    <w:p w:rsidR="00EE724B" w:rsidRDefault="000D4986">
      <w:pPr>
        <w:pStyle w:val="20"/>
        <w:framePr w:w="10598" w:h="15240" w:hRule="exact" w:wrap="none" w:vAnchor="page" w:hAnchor="page" w:x="608" w:y="689"/>
        <w:pBdr>
          <w:top w:val="single" w:sz="4" w:space="1" w:color="auto"/>
          <w:left w:val="single" w:sz="4" w:space="4" w:color="auto"/>
          <w:bottom w:val="single" w:sz="4" w:space="1" w:color="auto"/>
          <w:right w:val="single" w:sz="4" w:space="4" w:color="auto"/>
        </w:pBdr>
        <w:shd w:val="clear" w:color="auto" w:fill="auto"/>
        <w:ind w:left="3060" w:firstLine="540"/>
      </w:pPr>
      <w:r>
        <w:t>третью ценовую категорию - в случае, если энергопринимающие устройства, в отношении которых приобретается электрическая энергия (мощность), оборудованы приборами учета, позволяющими измерять почасовые объемы потребления электрической энергии, при условии выбора одноставочного варианта тарифа на услуги по передаче электрической энергии;</w:t>
      </w:r>
    </w:p>
    <w:p w:rsidR="00EE724B" w:rsidRDefault="000D4986">
      <w:pPr>
        <w:pStyle w:val="20"/>
        <w:framePr w:w="10598" w:h="15240" w:hRule="exact" w:wrap="none" w:vAnchor="page" w:hAnchor="page" w:x="608" w:y="689"/>
        <w:pBdr>
          <w:top w:val="single" w:sz="4" w:space="1" w:color="auto"/>
          <w:left w:val="single" w:sz="4" w:space="4" w:color="auto"/>
          <w:bottom w:val="single" w:sz="4" w:space="1" w:color="auto"/>
          <w:right w:val="single" w:sz="4" w:space="4" w:color="auto"/>
        </w:pBdr>
        <w:shd w:val="clear" w:color="auto" w:fill="auto"/>
        <w:ind w:left="3060" w:firstLine="540"/>
      </w:pPr>
      <w:r>
        <w:t xml:space="preserve">четвертую ценовую категорию - в случае, если энергопринимающие устройства, в отношении которых приобретается </w:t>
      </w:r>
      <w:r>
        <w:rPr>
          <w:rStyle w:val="25"/>
        </w:rPr>
        <w:t>электрическая энергия (мощность), оборудованы приборами учета,</w:t>
      </w:r>
    </w:p>
    <w:p w:rsidR="00EE724B" w:rsidRDefault="00EE724B">
      <w:pPr>
        <w:rPr>
          <w:sz w:val="2"/>
          <w:szCs w:val="2"/>
        </w:rPr>
        <w:sectPr w:rsidR="00EE724B">
          <w:pgSz w:w="11900" w:h="16840"/>
          <w:pgMar w:top="360" w:right="360" w:bottom="360" w:left="360" w:header="0" w:footer="3" w:gutter="0"/>
          <w:cols w:space="720"/>
          <w:noEndnote/>
          <w:docGrid w:linePitch="360"/>
        </w:sectPr>
      </w:pPr>
    </w:p>
    <w:p w:rsidR="00EE724B" w:rsidRDefault="000D4986">
      <w:pPr>
        <w:pStyle w:val="20"/>
        <w:framePr w:w="7498" w:h="9994" w:hRule="exact" w:wrap="none" w:vAnchor="page" w:hAnchor="page" w:x="3627" w:y="700"/>
        <w:pBdr>
          <w:top w:val="single" w:sz="4" w:space="1" w:color="auto"/>
          <w:left w:val="single" w:sz="4" w:space="4" w:color="auto"/>
          <w:bottom w:val="single" w:sz="4" w:space="1" w:color="auto"/>
          <w:right w:val="single" w:sz="4" w:space="4" w:color="auto"/>
        </w:pBdr>
        <w:shd w:val="clear" w:color="auto" w:fill="auto"/>
      </w:pPr>
      <w:r>
        <w:lastRenderedPageBreak/>
        <w:t>позволяющими измерять почасовые объемы потребления электрической энергии, при условии выбора двухставочного варианта тарифа на услуги по передаче электрической энергии или осуществления расчетов по двухставочному варианту тарифа на услуги по передаче электрической энергии без выбора варианта тарифа на услуги по передаче электрической энергии;</w:t>
      </w:r>
    </w:p>
    <w:p w:rsidR="00EE724B" w:rsidRDefault="000D4986">
      <w:pPr>
        <w:pStyle w:val="20"/>
        <w:framePr w:w="7498" w:h="9994" w:hRule="exact" w:wrap="none" w:vAnchor="page" w:hAnchor="page" w:x="3627" w:y="700"/>
        <w:pBdr>
          <w:top w:val="single" w:sz="4" w:space="1" w:color="auto"/>
          <w:left w:val="single" w:sz="4" w:space="4" w:color="auto"/>
          <w:bottom w:val="single" w:sz="4" w:space="1" w:color="auto"/>
          <w:right w:val="single" w:sz="4" w:space="4" w:color="auto"/>
        </w:pBdr>
        <w:shd w:val="clear" w:color="auto" w:fill="auto"/>
        <w:ind w:firstLine="580"/>
      </w:pPr>
      <w:r>
        <w:t>пятую ценовую категорию - в случае, если энергопринимающие устройства, в отношении которых приобретается электрическая энергия (мощность), оборудованы приборами учета, позволяющими измерять почасовые объемы потребления электрической энергии, при условии выбора одноставочного варианта тарифа на услуги по передаче электрической энергии и включения в договор энергоснабжения (купли-продажи (поставки) электрической энергии (мощности)) условия о планировании объемов потребления электрической энергии по часам суток;</w:t>
      </w:r>
    </w:p>
    <w:p w:rsidR="00EE724B" w:rsidRDefault="000D4986">
      <w:pPr>
        <w:pStyle w:val="20"/>
        <w:framePr w:w="7498" w:h="9994" w:hRule="exact" w:wrap="none" w:vAnchor="page" w:hAnchor="page" w:x="3627" w:y="700"/>
        <w:pBdr>
          <w:top w:val="single" w:sz="4" w:space="1" w:color="auto"/>
          <w:left w:val="single" w:sz="4" w:space="4" w:color="auto"/>
          <w:bottom w:val="single" w:sz="4" w:space="1" w:color="auto"/>
          <w:right w:val="single" w:sz="4" w:space="4" w:color="auto"/>
        </w:pBdr>
        <w:shd w:val="clear" w:color="auto" w:fill="auto"/>
        <w:ind w:firstLine="580"/>
      </w:pPr>
      <w:r>
        <w:t>шестую ценовую категорию - в случае, если энергопринимающие устройства, в отношении которых приобретается электрическая энергия (мощность), оборудованы приборами учета, позволяющими измерять почасовые объемы потребления электрической энергии, при условии выбора двухставочного варианта тарифа на услуги по передаче электрической энергии или осуществления расчетов по двухставочному варианту тарифа на услуги по передаче электрической энергии без выбора варианта тарифа на услуги по передаче электрической энергии, а также при включении в договор энергоснабжения (купли-продажи (поставки) электрической энергии (мощности)) условия о планировании объемов потребления электрической энергии по часам суток.</w:t>
      </w:r>
    </w:p>
    <w:p w:rsidR="00EE724B" w:rsidRDefault="000D4986">
      <w:pPr>
        <w:pStyle w:val="20"/>
        <w:framePr w:w="7498" w:h="9994" w:hRule="exact" w:wrap="none" w:vAnchor="page" w:hAnchor="page" w:x="3627" w:y="700"/>
        <w:pBdr>
          <w:top w:val="single" w:sz="4" w:space="1" w:color="auto"/>
          <w:left w:val="single" w:sz="4" w:space="4" w:color="auto"/>
          <w:bottom w:val="single" w:sz="4" w:space="1" w:color="auto"/>
          <w:right w:val="single" w:sz="4" w:space="4" w:color="auto"/>
        </w:pBdr>
        <w:shd w:val="clear" w:color="auto" w:fill="auto"/>
        <w:ind w:firstLine="580"/>
      </w:pPr>
      <w:r>
        <w:t xml:space="preserve">При этом в случае отсутствия уведомления о выборе иной, кроме первой и второй ценовых категорий, для расчетов за электрическую энергию (мощность) начиная с 1 июля 2013 г. в отношении потребителей с максимальной мощностью энергопринимающих устройств (совокупности энергопринимающих устройств) не менее 670 кВт применяется третья ценовая категория (для случая применения одноставочного тарифа на услуги по передаче электрической энергии) или четвертая ценовая категория (для случая применения двухставочного тарифа на услуги по передаче электрической энергии). (в ред. </w:t>
      </w:r>
      <w:r>
        <w:rPr>
          <w:rStyle w:val="24"/>
        </w:rPr>
        <w:t xml:space="preserve">Постановления </w:t>
      </w:r>
      <w:r>
        <w:t xml:space="preserve">Правительства РФ от 17.05.2016 </w:t>
      </w:r>
      <w:r>
        <w:rPr>
          <w:lang w:val="en-US" w:eastAsia="en-US" w:bidi="en-US"/>
        </w:rPr>
        <w:t xml:space="preserve">N </w:t>
      </w:r>
      <w:r>
        <w:t>433)</w:t>
      </w:r>
    </w:p>
    <w:p w:rsidR="00EE724B" w:rsidRDefault="00EE724B">
      <w:pPr>
        <w:rPr>
          <w:sz w:val="2"/>
          <w:szCs w:val="2"/>
        </w:rPr>
      </w:pPr>
    </w:p>
    <w:sectPr w:rsidR="00EE724B" w:rsidSect="00EE724B">
      <w:pgSz w:w="11900" w:h="16840"/>
      <w:pgMar w:top="360" w:right="360" w:bottom="360" w:left="36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115B" w:rsidRDefault="00EE115B" w:rsidP="00EE724B">
      <w:r>
        <w:separator/>
      </w:r>
    </w:p>
  </w:endnote>
  <w:endnote w:type="continuationSeparator" w:id="0">
    <w:p w:rsidR="00EE115B" w:rsidRDefault="00EE115B" w:rsidP="00EE72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115B" w:rsidRDefault="00EE115B"/>
  </w:footnote>
  <w:footnote w:type="continuationSeparator" w:id="0">
    <w:p w:rsidR="00EE115B" w:rsidRDefault="00EE115B"/>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DD6477"/>
    <w:multiLevelType w:val="multilevel"/>
    <w:tmpl w:val="D982F92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C7D508E"/>
    <w:multiLevelType w:val="multilevel"/>
    <w:tmpl w:val="5B3EF2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1"/>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
  <w:rsids>
    <w:rsidRoot w:val="00EE724B"/>
    <w:rsid w:val="000D4986"/>
    <w:rsid w:val="000F0FFF"/>
    <w:rsid w:val="00327584"/>
    <w:rsid w:val="005B2F74"/>
    <w:rsid w:val="007666FE"/>
    <w:rsid w:val="007C1DF6"/>
    <w:rsid w:val="009A003B"/>
    <w:rsid w:val="00C25778"/>
    <w:rsid w:val="00D85E0C"/>
    <w:rsid w:val="00EE115B"/>
    <w:rsid w:val="00EE724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EE724B"/>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EE724B"/>
    <w:rPr>
      <w:color w:val="0066CC"/>
      <w:u w:val="single"/>
    </w:rPr>
  </w:style>
  <w:style w:type="character" w:customStyle="1" w:styleId="a4">
    <w:name w:val="Подпись к таблице_"/>
    <w:basedOn w:val="a0"/>
    <w:link w:val="a5"/>
    <w:rsid w:val="00EE724B"/>
    <w:rPr>
      <w:rFonts w:ascii="Times New Roman" w:eastAsia="Times New Roman" w:hAnsi="Times New Roman" w:cs="Times New Roman"/>
      <w:b/>
      <w:bCs/>
      <w:i w:val="0"/>
      <w:iCs w:val="0"/>
      <w:smallCaps w:val="0"/>
      <w:strike w:val="0"/>
      <w:sz w:val="22"/>
      <w:szCs w:val="22"/>
      <w:u w:val="none"/>
    </w:rPr>
  </w:style>
  <w:style w:type="character" w:customStyle="1" w:styleId="2">
    <w:name w:val="Основной текст (2)_"/>
    <w:basedOn w:val="a0"/>
    <w:link w:val="20"/>
    <w:rsid w:val="00EE724B"/>
    <w:rPr>
      <w:rFonts w:ascii="Times New Roman" w:eastAsia="Times New Roman" w:hAnsi="Times New Roman" w:cs="Times New Roman"/>
      <w:b w:val="0"/>
      <w:bCs w:val="0"/>
      <w:i w:val="0"/>
      <w:iCs w:val="0"/>
      <w:smallCaps w:val="0"/>
      <w:strike w:val="0"/>
      <w:sz w:val="22"/>
      <w:szCs w:val="22"/>
      <w:u w:val="none"/>
    </w:rPr>
  </w:style>
  <w:style w:type="character" w:customStyle="1" w:styleId="21">
    <w:name w:val="Основной текст (2)"/>
    <w:basedOn w:val="2"/>
    <w:rsid w:val="00EE724B"/>
    <w:rPr>
      <w:color w:val="000000"/>
      <w:spacing w:val="0"/>
      <w:w w:val="100"/>
      <w:position w:val="0"/>
      <w:lang w:val="ru-RU" w:eastAsia="ru-RU" w:bidi="ru-RU"/>
    </w:rPr>
  </w:style>
  <w:style w:type="character" w:customStyle="1" w:styleId="22">
    <w:name w:val="Основной текст (2) + Полужирный"/>
    <w:basedOn w:val="2"/>
    <w:rsid w:val="00EE724B"/>
    <w:rPr>
      <w:b/>
      <w:bCs/>
      <w:color w:val="000000"/>
      <w:spacing w:val="0"/>
      <w:w w:val="100"/>
      <w:position w:val="0"/>
      <w:lang w:val="ru-RU" w:eastAsia="ru-RU" w:bidi="ru-RU"/>
    </w:rPr>
  </w:style>
  <w:style w:type="character" w:customStyle="1" w:styleId="23">
    <w:name w:val="Основной текст (2)"/>
    <w:basedOn w:val="2"/>
    <w:rsid w:val="00EE724B"/>
    <w:rPr>
      <w:color w:val="000000"/>
      <w:spacing w:val="0"/>
      <w:w w:val="100"/>
      <w:position w:val="0"/>
      <w:lang w:val="ru-RU" w:eastAsia="ru-RU" w:bidi="ru-RU"/>
    </w:rPr>
  </w:style>
  <w:style w:type="character" w:customStyle="1" w:styleId="24">
    <w:name w:val="Основной текст (2)"/>
    <w:basedOn w:val="2"/>
    <w:rsid w:val="00EE724B"/>
    <w:rPr>
      <w:color w:val="000000"/>
      <w:spacing w:val="0"/>
      <w:w w:val="100"/>
      <w:position w:val="0"/>
      <w:lang w:val="ru-RU" w:eastAsia="ru-RU" w:bidi="ru-RU"/>
    </w:rPr>
  </w:style>
  <w:style w:type="character" w:customStyle="1" w:styleId="25">
    <w:name w:val="Основной текст (2)"/>
    <w:basedOn w:val="2"/>
    <w:rsid w:val="00EE724B"/>
    <w:rPr>
      <w:color w:val="000000"/>
      <w:spacing w:val="0"/>
      <w:w w:val="100"/>
      <w:position w:val="0"/>
      <w:u w:val="single"/>
      <w:lang w:val="ru-RU" w:eastAsia="ru-RU" w:bidi="ru-RU"/>
    </w:rPr>
  </w:style>
  <w:style w:type="paragraph" w:customStyle="1" w:styleId="a5">
    <w:name w:val="Подпись к таблице"/>
    <w:basedOn w:val="a"/>
    <w:link w:val="a4"/>
    <w:rsid w:val="00EE724B"/>
    <w:pPr>
      <w:shd w:val="clear" w:color="auto" w:fill="FFFFFF"/>
      <w:spacing w:after="60" w:line="0" w:lineRule="atLeast"/>
      <w:jc w:val="center"/>
    </w:pPr>
    <w:rPr>
      <w:rFonts w:ascii="Times New Roman" w:eastAsia="Times New Roman" w:hAnsi="Times New Roman" w:cs="Times New Roman"/>
      <w:b/>
      <w:bCs/>
      <w:sz w:val="22"/>
      <w:szCs w:val="22"/>
    </w:rPr>
  </w:style>
  <w:style w:type="paragraph" w:customStyle="1" w:styleId="20">
    <w:name w:val="Основной текст (2)"/>
    <w:basedOn w:val="a"/>
    <w:link w:val="2"/>
    <w:rsid w:val="00EE724B"/>
    <w:pPr>
      <w:shd w:val="clear" w:color="auto" w:fill="FFFFFF"/>
      <w:spacing w:line="274" w:lineRule="exact"/>
      <w:jc w:val="both"/>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5</Pages>
  <Words>2244</Words>
  <Characters>12793</Characters>
  <Application>Microsoft Office Word</Application>
  <DocSecurity>0</DocSecurity>
  <Lines>106</Lines>
  <Paragraphs>30</Paragraphs>
  <ScaleCrop>false</ScaleCrop>
  <Company/>
  <LinksUpToDate>false</LinksUpToDate>
  <CharactersWithSpaces>15007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Aslan</dc:creator>
  <cp:lastModifiedBy>Aslan</cp:lastModifiedBy>
  <cp:revision>5</cp:revision>
  <dcterms:created xsi:type="dcterms:W3CDTF">2022-07-12T11:49:00Z</dcterms:created>
  <dcterms:modified xsi:type="dcterms:W3CDTF">2022-07-12T11:59:00Z</dcterms:modified>
</cp:coreProperties>
</file>